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f00fc6270f414e6d" /><Relationship Type="http://schemas.openxmlformats.org/package/2006/relationships/metadata/core-properties" Target="package/services/metadata/core-properties/3ae57def79054890ba39b18b55b377b8.psmdcp" Id="R80577ac855d241ba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2C4E59F4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0FA8EA46" w14:paraId="6B39908D" wp14:textId="77777777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FA8EA46" w:rsidR="0FA8EA4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0FA8EA46" w:rsidR="0FA8EA4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</w:t>
      </w:r>
      <w:r w:rsidRPr="0FA8EA46" w:rsidR="0FA8EA46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2021-2024</w:t>
      </w:r>
      <w:r w:rsidRPr="0FA8EA46" w:rsidR="0FA8EA4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0A37501D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FA8EA46" w14:paraId="793CB8DE" wp14:textId="77777777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 w:rsidRPr="0FA8EA46" w:rsidR="0FA8EA4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   </w:t>
      </w:r>
      <w:r w:rsidRPr="0FA8EA46" w:rsidR="0FA8EA46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Rok akademicki   2023</w:t>
      </w:r>
      <w:r w:rsidRPr="0FA8EA46" w:rsidR="0FA8EA46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/2024</w:t>
      </w:r>
    </w:p>
    <w:p xmlns:wp14="http://schemas.microsoft.com/office/word/2010/wordml" w14:paraId="5DAB6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29FF6E80" w14:paraId="6C772B7A" wp14:textId="77777777">
      <w:pPr>
        <w:numPr>
          <w:ilvl w:val="0"/>
          <w:numId w:val="4"/>
        </w:numPr>
        <w:tabs>
          <w:tab w:val="left" w:leader="none" w:pos="142"/>
        </w:tabs>
        <w:spacing w:before="0" w:after="0" w:line="240"/>
        <w:ind w:left="284" w:right="0" w:hanging="426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29FF6E80" w:rsidR="29FF6E8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Podstawowe informacje o przedmiocie 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584"/>
        <w:gridCol w:w="6776"/>
      </w:tblGrid>
      <w:tr w:rsidR="29FF6E80" w:rsidTr="0FA8EA46" w14:paraId="58C8794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0A6EEFE1" w14:textId="399F4E70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RDefault="29FF6E80" w14:paraId="604FD6E9" w14:textId="659FE59E"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PODSTAWY PRAWA KARNEGO</w:t>
            </w:r>
          </w:p>
        </w:tc>
      </w:tr>
      <w:tr w:rsidR="29FF6E80" w:rsidTr="0FA8EA46" w14:paraId="4353AF55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219EAA6E" w14:textId="42923A4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Kod przedmiotu/ modułu*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RDefault="29FF6E80" w14:paraId="3B549F50" w14:textId="23B08F69"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BW33</w:t>
            </w:r>
          </w:p>
        </w:tc>
      </w:tr>
      <w:tr w:rsidR="29FF6E80" w:rsidTr="0FA8EA46" w14:paraId="5579599E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911AB02" w14:textId="3B3D05AD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786C6B3B" w14:textId="1B1C476B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 xml:space="preserve">Kolegium Nauk Społecznych </w:t>
            </w:r>
          </w:p>
        </w:tc>
      </w:tr>
      <w:tr w:rsidR="29FF6E80" w:rsidTr="0FA8EA46" w14:paraId="74DFCBC6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9EEF5AF" w14:textId="4FE0EE38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14C9F28" w14:textId="5215BA11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Kolegium Nauk Społecznych</w:t>
            </w:r>
          </w:p>
        </w:tc>
      </w:tr>
      <w:tr w:rsidR="29FF6E80" w:rsidTr="0FA8EA46" w14:paraId="34658A2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D793265" w14:textId="5133EF1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3B52D8C" w14:textId="2E56A1C1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Bezpieczeństwo wewnętrzne</w:t>
            </w:r>
          </w:p>
        </w:tc>
      </w:tr>
      <w:tr w:rsidR="29FF6E80" w:rsidTr="0FA8EA46" w14:paraId="2D3CA1DB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1486A90" w14:textId="7DD9FF1C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4A3A8F56" w14:textId="4E553916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pierwszy stopień</w:t>
            </w:r>
          </w:p>
        </w:tc>
      </w:tr>
      <w:tr w:rsidR="29FF6E80" w:rsidTr="0FA8EA46" w14:paraId="29EBEE62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690B2F3C" w14:textId="40F1AF1D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E3D1D1F" w14:textId="654BD11F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praktyczny</w:t>
            </w:r>
          </w:p>
        </w:tc>
      </w:tr>
      <w:tr w:rsidR="29FF6E80" w:rsidTr="0FA8EA46" w14:paraId="5026EFAA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2279F95A" w14:textId="675DE7E0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096D9D5F" w:rsidP="29FF6E80" w:rsidRDefault="096D9D5F" w14:paraId="4FF35958" w14:textId="157C8645">
            <w:pPr>
              <w:jc w:val="both"/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</w:pPr>
            <w:r w:rsidRPr="29FF6E80" w:rsidR="096D9D5F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nie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stacjonarne</w:t>
            </w:r>
          </w:p>
        </w:tc>
      </w:tr>
      <w:tr w:rsidR="29FF6E80" w:rsidTr="0FA8EA46" w14:paraId="7E57050F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9C66B0C" w14:textId="62D70A5B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0FA8EA46" w:rsidRDefault="29FF6E80" w14:paraId="7FDDC3BA" w14:textId="1BE08570">
            <w:pPr>
              <w:spacing w:line="240" w:lineRule="auto"/>
              <w:jc w:val="both"/>
            </w:pPr>
            <w:r w:rsidRPr="0FA8EA46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rok III, semestr V</w:t>
            </w:r>
          </w:p>
        </w:tc>
      </w:tr>
      <w:tr w:rsidR="29FF6E80" w:rsidTr="0FA8EA46" w14:paraId="2A636708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10FB4A6" w14:textId="37009AA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0FA8EA46" w:rsidRDefault="29FF6E80" w14:paraId="325BD71B" w14:textId="2BC55227">
            <w:pPr>
              <w:spacing w:line="240" w:lineRule="auto"/>
              <w:jc w:val="both"/>
            </w:pPr>
            <w:r w:rsidRPr="0FA8EA46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obowiązkowy</w:t>
            </w:r>
          </w:p>
        </w:tc>
      </w:tr>
      <w:tr w:rsidR="29FF6E80" w:rsidTr="0FA8EA46" w14:paraId="048C63A2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7C26185" w14:textId="49AA7E41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0FA8EA46" w:rsidRDefault="29FF6E80" w14:paraId="632581E8" w14:textId="2094AB13">
            <w:pPr>
              <w:spacing w:line="240" w:lineRule="auto"/>
              <w:jc w:val="both"/>
            </w:pPr>
            <w:r w:rsidRPr="0FA8EA46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dr Małgorzata Trybus</w:t>
            </w:r>
          </w:p>
        </w:tc>
      </w:tr>
      <w:tr w:rsidR="29FF6E80" w:rsidTr="0FA8EA46" w14:paraId="1B57196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8FAB781" w14:textId="030FC992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0FA8EA46" w:rsidRDefault="29FF6E80" w14:paraId="1B94B49F" w14:textId="7395D63E">
            <w:pPr>
              <w:spacing w:line="240" w:lineRule="auto"/>
              <w:jc w:val="both"/>
            </w:pPr>
            <w:r w:rsidRPr="0FA8EA46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dr Małgorzata Trybus</w:t>
            </w:r>
          </w:p>
        </w:tc>
      </w:tr>
    </w:tbl>
    <w:p xmlns:wp14="http://schemas.microsoft.com/office/word/2010/wordml" w:rsidP="29FF6E80" w14:paraId="02EB378F" wp14:textId="219709BD">
      <w:pPr>
        <w:pStyle w:val="Normal"/>
        <w:tabs>
          <w:tab w:val="left" w:leader="none" w:pos="16771402"/>
        </w:tabs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2EA7DA07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* -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opcjonalnie, zgodnie z ustaleniami w Jednostce</w:t>
      </w:r>
    </w:p>
    <w:p xmlns:wp14="http://schemas.microsoft.com/office/word/2010/wordml" w14:paraId="6A05A809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2E41B37" wp14:textId="77777777">
      <w:pPr>
        <w:numPr>
          <w:ilvl w:val="0"/>
          <w:numId w:val="44"/>
        </w:numPr>
        <w:tabs>
          <w:tab w:val="left" w:leader="none" w:pos="16771402"/>
        </w:tabs>
        <w:spacing w:before="0" w:after="0" w:line="240"/>
        <w:ind w:left="709" w:right="0" w:hanging="425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A39BBE3" wp14:textId="77777777">
      <w:pPr>
        <w:tabs>
          <w:tab w:val="left" w:leader="none" w:pos="16771402"/>
        </w:tabs>
        <w:spacing w:before="0" w:after="0" w:line="240"/>
        <w:ind w:left="709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xmlns:wp14="http://schemas.microsoft.com/office/word/2010/wordml" w14:paraId="6B53DC6D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7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6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3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7D163A72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96C34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V</w:t>
            </w:r>
          </w:p>
        </w:tc>
        <w:tc>
          <w:tcPr>
            <w:tcW w:w="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9E912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67AC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3F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E1480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6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A2A7E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FA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1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8BB8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3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41C8F39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72A3D3E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1D07AC13" w14:paraId="7C183151" wp14:textId="11610099">
      <w:pPr>
        <w:pStyle w:val="Normal"/>
        <w:spacing w:before="0" w:after="0" w:line="240" w:lineRule="auto"/>
        <w:ind w:left="284" w:right="0" w:firstLine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</w:pPr>
      <w:r w:rsidRPr="1D07AC13" w:rsidR="766031E9">
        <w:rPr>
          <w:rFonts w:ascii="Segoe UI Symbol" w:hAnsi="Segoe UI Symbol" w:eastAsia="Segoe UI Symbol" w:cs="Segoe UI Symbol"/>
          <w:b w:val="1"/>
          <w:bCs w:val="1"/>
          <w:i w:val="0"/>
          <w:iCs w:val="0"/>
          <w:caps w:val="0"/>
          <w:smallCaps w:val="0"/>
          <w:color w:val="000000" w:themeColor="accent6" w:themeTint="FF" w:themeShade="FF"/>
          <w:sz w:val="24"/>
          <w:szCs w:val="24"/>
          <w:u w:val="single"/>
        </w:rPr>
        <w:t>☐</w:t>
      </w:r>
      <w:r w:rsidRPr="1D07AC13" w:rsidR="766031E9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 zaj</w:t>
      </w:r>
      <w:r w:rsidRPr="1D07AC13" w:rsidR="1D07AC13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ęcia w formie tradycyjnej (w razie konieczności w formie zdalnej w ramach platformy MS Teams)</w:t>
      </w:r>
    </w:p>
    <w:p xmlns:wp14="http://schemas.microsoft.com/office/word/2010/wordml" w14:paraId="0D0B940D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86692D9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0E27B00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8B19CB" wp14:textId="77777777">
      <w:pPr>
        <w:tabs>
          <w:tab w:val="left" w:leader="none" w:pos="709"/>
        </w:tabs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7DD6A67A" wp14:textId="77777777">
      <w:pPr>
        <w:spacing w:before="0" w:after="0" w:line="240"/>
        <w:ind w:left="0" w:right="0" w:firstLine="284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-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7F758C4" wp14:textId="77777777">
      <w:pPr>
        <w:numPr>
          <w:ilvl w:val="0"/>
          <w:numId w:val="62"/>
        </w:numPr>
        <w:spacing w:before="0" w:after="0" w:line="240"/>
        <w:ind w:left="284" w:right="0" w:hanging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060"/>
      </w:tblGrid>
      <w:tr xmlns:wp14="http://schemas.microsoft.com/office/word/2010/wordml" w14:paraId="6A04BA7D" wp14:textId="77777777">
        <w:trPr>
          <w:trHeight w:val="1" w:hRule="atLeast"/>
          <w:jc w:val="left"/>
        </w:trPr>
        <w:tc>
          <w:tcPr>
            <w:tcW w:w="9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2B612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Brak </w:t>
            </w:r>
          </w:p>
        </w:tc>
      </w:tr>
    </w:tbl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0931AE" wp14:textId="77777777">
      <w:pPr>
        <w:numPr>
          <w:ilvl w:val="0"/>
          <w:numId w:val="67"/>
        </w:numPr>
        <w:tabs>
          <w:tab w:val="left" w:leader="none" w:pos="360"/>
          <w:tab w:val="left" w:leader="none" w:pos="284"/>
        </w:tabs>
        <w:spacing w:before="0" w:after="0" w:line="240"/>
        <w:ind w:left="567" w:right="0" w:hanging="567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0E92C6C" wp14:textId="77777777">
      <w:pPr>
        <w:numPr>
          <w:ilvl w:val="0"/>
          <w:numId w:val="69"/>
        </w:numPr>
        <w:tabs>
          <w:tab w:val="left" w:leader="none" w:pos="502"/>
          <w:tab w:val="left" w:leader="none" w:pos="567"/>
          <w:tab w:val="left" w:leader="none" w:pos="709"/>
        </w:tabs>
        <w:spacing w:before="0" w:after="0" w:line="240"/>
        <w:ind w:left="0" w:right="0" w:firstLine="284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 </w:t>
      </w:r>
    </w:p>
    <w:tbl>
      <w:tblPr/>
      <w:tblGrid>
        <w:gridCol w:w="656"/>
        <w:gridCol w:w="8404"/>
      </w:tblGrid>
      <w:tr xmlns:wp14="http://schemas.microsoft.com/office/word/2010/wordml" w14:paraId="12AFA8B1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80E770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A2821" wp14:textId="77777777">
            <w:pPr>
              <w:tabs>
                <w:tab w:val="left" w:leader="none" w:pos="360"/>
                <w:tab w:val="left" w:leader="none" w:pos="720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Uzyskanie przez studentów wiedzy z zakresu prawa karnego z uwzgl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ędnieniem wybranego orzecznictwa sądowego.</w:t>
            </w:r>
          </w:p>
        </w:tc>
      </w:tr>
      <w:tr xmlns:wp14="http://schemas.microsoft.com/office/word/2010/wordml" w14:paraId="4DED1CD1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D3D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Zrozumienie oraz pog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łębianie wiedzy z zakresu instytucji prawa karnego, a także umiejętność nadążania za zmianami prawa karnego.</w:t>
            </w:r>
          </w:p>
        </w:tc>
      </w:tr>
      <w:tr xmlns:wp14="http://schemas.microsoft.com/office/word/2010/wordml" w14:paraId="66341436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151B1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ętność samodzielnej pracy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 ustaw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kodeks karny, a także zdobycie przez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dokonywania właściwej interpretacji przepis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prawa karnego. Ponadto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ętność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wykorzystania zdobytej wiedzy przy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ązywaniu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praktycznych (rozwi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ązywanie kazus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 przedmiotu).</w:t>
            </w:r>
          </w:p>
        </w:tc>
      </w:tr>
    </w:tbl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587"/>
        <w:gridCol w:w="5523"/>
        <w:gridCol w:w="1842"/>
      </w:tblGrid>
      <w:tr xmlns:wp14="http://schemas.microsoft.com/office/word/2010/wordml" w14:paraId="5E2D1292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C574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 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5FB081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EE926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5BBBB2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</w:t>
            </w:r>
          </w:p>
        </w:tc>
      </w:tr>
      <w:tr xmlns:wp14="http://schemas.microsoft.com/office/word/2010/wordml" w14:paraId="386302C5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9B2D53" wp14:textId="77777777">
            <w:pPr>
              <w:tabs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Absolwent zna i rozumie podstawowe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 i instytucje z zakresu prawa karnego, a także ma wiedzę na temat orzecznictwa polskich organ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wymiaru sprawiedliwo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w zakresie problematyki prawa karnego.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FB2513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K_W03</w:t>
            </w:r>
          </w:p>
        </w:tc>
      </w:tr>
      <w:tr xmlns:wp14="http://schemas.microsoft.com/office/word/2010/wordml" w14:paraId="78426CB1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72A46C6" wp14:textId="77777777">
            <w:pPr>
              <w:tabs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interpretowa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i stosować przepisy z zakresu prawa karnego, a także posiada umiejętność dokonania prawidłowej subsumcji stanu faktycznego 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CFCD0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710D1323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C4E3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wykorzysta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wiedzę teoretyczną przy rozwiązywaniu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praktycznych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B67F8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K_U12</w:t>
            </w:r>
          </w:p>
        </w:tc>
      </w:tr>
      <w:tr xmlns:wp14="http://schemas.microsoft.com/office/word/2010/wordml" w14:paraId="4D4DBC64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D22A3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podstawowe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badawcze obejmujące formułowanie i analizę zagadnienia/problemu z zakresu prawa karnego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7426AF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40E07D75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EDCF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podejmuje decyzje i uzasadnia swoje stanowiska przy wykorzystaniu  regu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rozumowania prawniczego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48D2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K_U12</w:t>
            </w:r>
          </w:p>
        </w:tc>
      </w:tr>
      <w:tr xmlns:wp14="http://schemas.microsoft.com/office/word/2010/wordml" w14:paraId="419754DD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9A5216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EK_06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D9E9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świadomość swojej wiedzy i umiejętności , rozumie potrzebę ciągłego dokształcania się i rozwoju zawodowego, wyznacza kierunki własnego rozwoju i kształcenia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  <w:tr xmlns:wp14="http://schemas.microsoft.com/office/word/2010/wordml" w14:paraId="2096CA1A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CE86DB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EK_07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45DEA8" wp14:textId="77777777">
            <w:pPr>
              <w:spacing w:before="10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gotów do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świadomego określenia poziomu swojej wiedzy z zakresu prawa karnego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B699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K_K07</w:t>
            </w:r>
          </w:p>
        </w:tc>
      </w:tr>
    </w:tbl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113"/>
        </w:numPr>
        <w:spacing w:before="0" w:after="0" w:line="240"/>
        <w:ind w:left="709" w:right="0" w:hanging="425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14:paraId="3C255208" wp14:textId="77777777">
      <w:pPr>
        <w:numPr>
          <w:ilvl w:val="0"/>
          <w:numId w:val="113"/>
        </w:numPr>
        <w:spacing w:before="0" w:after="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 zajęć praktycznych </w:t>
      </w:r>
    </w:p>
    <w:p xmlns:wp14="http://schemas.microsoft.com/office/word/2010/wordml" w14:paraId="53128261" wp14:textId="77777777">
      <w:pPr>
        <w:spacing w:before="0" w:after="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Style w:val="TableNormal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7230"/>
      </w:tblGrid>
      <w:tr w:rsidR="29FF6E80" w:rsidTr="29FF6E80" w14:paraId="4F8ED4D7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121EEFBB" w14:textId="0B238C81">
            <w:pPr>
              <w:ind w:left="708" w:hanging="708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29FF6E80" w:rsidTr="29FF6E80" w14:paraId="188C0B56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7567BF5E" w14:textId="12E0930D">
            <w:pPr>
              <w:tabs>
                <w:tab w:val="left" w:leader="none" w:pos="720"/>
              </w:tabs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Pojęcie, funkcje i podział prawa karnego</w:t>
            </w:r>
          </w:p>
        </w:tc>
      </w:tr>
      <w:tr w:rsidR="29FF6E80" w:rsidTr="29FF6E80" w14:paraId="4CDD4E38">
        <w:trPr>
          <w:trHeight w:val="300"/>
        </w:trPr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44AD4FAA" w14:textId="059C01B8">
            <w:pPr>
              <w:tabs>
                <w:tab w:val="left" w:leader="none" w:pos="720"/>
              </w:tabs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Źródła prawa karnego </w:t>
            </w:r>
          </w:p>
        </w:tc>
      </w:tr>
      <w:tr w:rsidR="29FF6E80" w:rsidTr="29FF6E80" w14:paraId="1C844B9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AD71866" w14:textId="6C1F7812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Czas popełnienia czynu zabronionego. Prawo karne intertemporalne</w:t>
            </w:r>
          </w:p>
        </w:tc>
      </w:tr>
      <w:tr w:rsidR="29FF6E80" w:rsidTr="29FF6E80" w14:paraId="66E1F96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2920B5E" w14:textId="1D4EFF8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Miejsce popełnienia czynu zabronionego. Zasady prawa karnego międzynarodowego </w:t>
            </w:r>
          </w:p>
        </w:tc>
      </w:tr>
      <w:tr w:rsidR="29FF6E80" w:rsidTr="29FF6E80" w14:paraId="67F0353B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63763F4" w14:textId="5AC467CF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Pojęcie, struktura przestępstwa i podział przestępstw </w:t>
            </w:r>
          </w:p>
        </w:tc>
      </w:tr>
      <w:tr w:rsidR="29FF6E80" w:rsidTr="29FF6E80" w14:paraId="5F3B55BC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69860D7B" w14:textId="4C29E7E8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Ustawowe znamiona czynu zabronionego </w:t>
            </w:r>
          </w:p>
        </w:tc>
      </w:tr>
      <w:tr w:rsidR="29FF6E80" w:rsidTr="29FF6E80" w14:paraId="73990896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F84C597" w14:textId="5DECC34B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Formy stadialne i zjawiskowe popełnienia przestępstwa </w:t>
            </w:r>
          </w:p>
        </w:tc>
      </w:tr>
      <w:tr w:rsidR="29FF6E80" w:rsidTr="29FF6E80" w14:paraId="7C4BBEA1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E55F684" w14:textId="5957F514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Zasada winy i okoliczności uchylające winę</w:t>
            </w:r>
          </w:p>
        </w:tc>
      </w:tr>
      <w:tr w:rsidR="29FF6E80" w:rsidTr="29FF6E80" w14:paraId="705577FF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125CF9CD" w14:textId="19D26C92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Okoliczności uchylające bezprawność czynu </w:t>
            </w:r>
          </w:p>
        </w:tc>
      </w:tr>
      <w:tr w:rsidR="29FF6E80" w:rsidTr="29FF6E80" w14:paraId="1C83412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D301632" w14:textId="0FD849B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Zbieg przepisów. Zbieg przestępstw. Czyn ciągły. Ciąg przestępstw</w:t>
            </w:r>
          </w:p>
        </w:tc>
      </w:tr>
      <w:tr w:rsidR="29FF6E80" w:rsidTr="29FF6E80" w14:paraId="4C1F0C41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664A397C" w14:textId="7BD65E6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 i funkcje kary. Rodzaje kar. Zasady wymierzania kar</w:t>
            </w:r>
          </w:p>
        </w:tc>
      </w:tr>
      <w:tr w:rsidR="29FF6E80" w:rsidTr="29FF6E80" w14:paraId="7649A94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3EBBF0B8" w14:textId="20FEB8F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 i funkcje środka karnego. Rodzaje środków karnych. Zasady ich wymierzania</w:t>
            </w:r>
          </w:p>
        </w:tc>
      </w:tr>
      <w:tr w:rsidR="29FF6E80" w:rsidTr="29FF6E80" w14:paraId="2CD1C32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73A194CE" w14:textId="497F4E2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Środki związane z poddaniem sprawcy próbie</w:t>
            </w:r>
          </w:p>
        </w:tc>
      </w:tr>
      <w:tr w:rsidR="29FF6E80" w:rsidTr="29FF6E80" w14:paraId="3E2721CA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5230FD5" w14:textId="6E92A379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29FF6E80" w:rsidTr="29FF6E80" w14:paraId="2B3AD674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395629D1" w14:textId="25064BE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Zasady dotyczące sądowego wymiaru kary i środków karnych. Nadzwyczajny wymiar kary, okoliczności wpływające na złagodzenie lub obostrzenie wymiaru kary </w:t>
            </w:r>
          </w:p>
        </w:tc>
      </w:tr>
      <w:tr w:rsidR="29FF6E80" w:rsidTr="29FF6E80" w14:paraId="3170B349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4E7B226A" w14:textId="2AD03937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Przedawnienie. Zatarcie skazania</w:t>
            </w:r>
          </w:p>
        </w:tc>
      </w:tr>
    </w:tbl>
    <w:p xmlns:wp14="http://schemas.microsoft.com/office/word/2010/wordml" w:rsidP="29FF6E80" w14:paraId="62486C05" wp14:textId="566414E4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1CE53C73" wp14:textId="77777777">
      <w:pPr>
        <w:numPr>
          <w:ilvl w:val="0"/>
          <w:numId w:val="154"/>
        </w:numPr>
        <w:spacing w:before="0" w:after="0" w:line="240"/>
        <w:ind w:left="709" w:right="0" w:hanging="425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8359A17" wp14:textId="77777777">
      <w:pPr>
        <w:suppressAutoHyphens w:val="true"/>
        <w:spacing w:before="0" w:after="0" w:line="240"/>
        <w:ind w:left="36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t xml:space="preserve">A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naliza tekstu prawnego, analiza przypadków/stanu prawnego, praca w grupach, dyskusja, rozwi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ązywanie zadań/kazus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ów. </w:t>
      </w:r>
    </w:p>
    <w:p xmlns:wp14="http://schemas.microsoft.com/office/word/2010/wordml" w14:paraId="4101652C" wp14:textId="77777777">
      <w:pPr>
        <w:spacing w:before="0" w:after="0" w:line="240"/>
        <w:ind w:left="862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55E3A45" wp14:textId="77777777">
      <w:pPr>
        <w:numPr>
          <w:ilvl w:val="0"/>
          <w:numId w:val="157"/>
        </w:numPr>
        <w:spacing w:before="0" w:after="0" w:line="240"/>
        <w:ind w:left="142" w:right="0" w:hanging="142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.  METODY I KRYTERIA OCENY</w:t>
      </w:r>
    </w:p>
    <w:p xmlns:wp14="http://schemas.microsoft.com/office/word/2010/wordml" w14:paraId="4B99056E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CE9E4" wp14:textId="77777777">
      <w:pPr>
        <w:spacing w:before="0" w:after="0" w:line="240"/>
        <w:ind w:left="284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Sposoby weryfikacji efektów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914"/>
        <w:gridCol w:w="4956"/>
        <w:gridCol w:w="2195"/>
      </w:tblGrid>
      <w:tr xmlns:wp14="http://schemas.microsoft.com/office/word/2010/wordml" w14:paraId="486A6EBA" wp14:textId="77777777">
        <w:trPr>
          <w:trHeight w:val="1" w:hRule="atLeast"/>
          <w:jc w:val="left"/>
        </w:trPr>
        <w:tc>
          <w:tcPr>
            <w:tcW w:w="19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4DDBEF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73578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oceny efektów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</w:t>
            </w:r>
          </w:p>
          <w:p w14:paraId="48CEE6E5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14:paraId="50D29C42" wp14:textId="77777777">
        <w:trPr>
          <w:trHeight w:val="1" w:hRule="atLeast"/>
          <w:jc w:val="left"/>
        </w:trPr>
        <w:tc>
          <w:tcPr>
            <w:tcW w:w="19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F9E582D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EK_01 - EK_07</w:t>
            </w:r>
          </w:p>
        </w:tc>
        <w:tc>
          <w:tcPr>
            <w:tcW w:w="49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54E8F8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 wyniki testu ko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ńcowego;</w:t>
            </w:r>
          </w:p>
          <w:p w14:paraId="26E4579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 ocena odpowiedzi podczas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ęć.</w:t>
            </w:r>
          </w:p>
        </w:tc>
        <w:tc>
          <w:tcPr>
            <w:tcW w:w="21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13F6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Warunki zaliczenia przedmiotu (kryteria oceniania)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9065"/>
      </w:tblGrid>
      <w:tr xmlns:wp14="http://schemas.microsoft.com/office/word/2010/wordml" w14:paraId="29B7D27C" wp14:textId="77777777">
        <w:trPr>
          <w:trHeight w:val="1" w:hRule="atLeast"/>
          <w:jc w:val="left"/>
        </w:trPr>
        <w:tc>
          <w:tcPr>
            <w:tcW w:w="90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B78278" wp14:textId="77777777">
            <w:pPr>
              <w:spacing w:before="0" w:after="0" w:line="240"/>
              <w:ind w:left="0" w:right="0" w:firstLine="0"/>
              <w:jc w:val="both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557A1609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FF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Test jednokrotnego wyboru, ograniczony czasowo bez dost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ępu do kodeksu karnego oraz obserwacja umiejętności praktycznych studenta w trakcie zajęć, w szczeg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ólno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ści poparta wiedzą merytoryczną (aktywność studenta na zajęciach).</w:t>
            </w:r>
          </w:p>
          <w:p w14:paraId="1FC39945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05D153EC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Do otrzymania oceny pozytywnej nale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ży uzyskać min. 50% pozytywnych odpowiedzi z testu.</w:t>
            </w:r>
          </w:p>
          <w:p w14:paraId="0562CB0E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</w:p>
        </w:tc>
      </w:tr>
    </w:tbl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705" w:right="0" w:hanging="705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618"/>
        <w:gridCol w:w="4334"/>
      </w:tblGrid>
      <w:tr xmlns:wp14="http://schemas.microsoft.com/office/word/2010/wordml" w:rsidTr="0B747F69" w14:paraId="3808A828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7268D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godzinna zrealizowanie aktywności</w:t>
            </w:r>
          </w:p>
        </w:tc>
      </w:tr>
      <w:tr xmlns:wp14="http://schemas.microsoft.com/office/word/2010/wordml" w:rsidTr="0B747F69" w14:paraId="110FDCF0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0B747F69" w14:paraId="370080A6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0B747F69" w14:paraId="78941E47" wp14:textId="4D00DDCC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B747F69" w:rsidR="186D79BD">
              <w:rPr>
                <w:rFonts w:ascii="Corbel" w:hAnsi="Corbel" w:eastAsia="Corbel" w:cs="Corbel"/>
                <w:color w:val="auto"/>
                <w:sz w:val="24"/>
                <w:szCs w:val="24"/>
              </w:rPr>
              <w:t>15</w:t>
            </w:r>
          </w:p>
        </w:tc>
      </w:tr>
      <w:tr xmlns:wp14="http://schemas.microsoft.com/office/word/2010/wordml" w:rsidTr="0B747F69" w14:paraId="5AB7F672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0B747F69" w14:paraId="704A35C2" wp14:textId="77777777">
            <w:pPr>
              <w:spacing w:before="0" w:after="0" w:line="240" w:lineRule="auto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0B747F69" w:rsidR="1D4E801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:rsidTr="0B747F69" w14:paraId="00D7B6FD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4B12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60</w:t>
            </w:r>
          </w:p>
        </w:tc>
      </w:tr>
      <w:tr xmlns:wp14="http://schemas.microsoft.com/office/word/2010/wordml" w:rsidTr="0B747F69" w14:paraId="0AD00C0E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4475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95C2B" wp14:textId="77777777">
      <w:pPr>
        <w:numPr>
          <w:ilvl w:val="0"/>
          <w:numId w:val="200"/>
        </w:numPr>
        <w:spacing w:before="0" w:after="0" w:line="240"/>
        <w:ind w:left="142" w:right="0" w:hanging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</w:t>
      </w:r>
    </w:p>
    <w:p xmlns:wp14="http://schemas.microsoft.com/office/word/2010/wordml" w14:paraId="2946DB82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3544"/>
        <w:gridCol w:w="5245"/>
      </w:tblGrid>
      <w:tr xmlns:wp14="http://schemas.microsoft.com/office/word/2010/wordml" w14:paraId="5454FE0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6D669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C2E4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  <w:tr xmlns:wp14="http://schemas.microsoft.com/office/word/2010/wordml" w14:paraId="5BCC8499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EFD7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D9AC6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29FF6E80" w14:paraId="21668AA4" wp14:textId="77777777">
      <w:pPr>
        <w:numPr>
          <w:ilvl w:val="0"/>
          <w:numId w:val="211"/>
        </w:numPr>
        <w:spacing w:before="0" w:after="0" w:line="240"/>
        <w:ind w:left="142" w:right="0" w:hanging="284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29FF6E80" w:rsidR="29FF6E8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LITERATURA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8790"/>
      </w:tblGrid>
      <w:tr w:rsidR="29FF6E80" w:rsidTr="29FF6E80" w14:paraId="4EC429CB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4FF2ACB" w14:textId="747C3C9F"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Literatura podstawowa:</w:t>
            </w:r>
          </w:p>
          <w:p w:rsidR="29FF6E80" w:rsidRDefault="29FF6E80" w14:paraId="1C9F8764" w14:textId="5A5FDE31">
            <w:r w:rsidRPr="29FF6E80" w:rsidR="29FF6E80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29FF6E80" w:rsidRDefault="29FF6E80" w14:paraId="3D3499A6" w14:textId="7B20A8BD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Gardocki L.,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Prawo karne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, wyd. 20, C.H. Beck, Warszawa 2017.</w:t>
            </w:r>
          </w:p>
          <w:p w:rsidR="29FF6E80" w:rsidP="29FF6E80" w:rsidRDefault="29FF6E80" w14:paraId="5A627B97" w14:textId="246FA838">
            <w:pPr>
              <w:spacing w:line="276" w:lineRule="auto"/>
            </w:pP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Marek A., Konarska-Wrzosek V., </w:t>
            </w:r>
            <w:proofErr w:type="spellStart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Prawo</w:t>
            </w:r>
            <w:proofErr w:type="spellEnd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 xml:space="preserve"> </w:t>
            </w:r>
            <w:proofErr w:type="spellStart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karne</w:t>
            </w:r>
            <w:proofErr w:type="spellEnd"/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Warszawa 2019.</w:t>
            </w:r>
          </w:p>
          <w:p w:rsidR="29FF6E80" w:rsidP="29FF6E80" w:rsidRDefault="29FF6E80" w14:paraId="556F5675" w14:textId="65B83333">
            <w:pPr>
              <w:pStyle w:val="Normal"/>
              <w:spacing w:line="276" w:lineRule="auto"/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</w:pPr>
          </w:p>
        </w:tc>
      </w:tr>
      <w:tr w:rsidR="29FF6E80" w:rsidTr="29FF6E80" w14:paraId="2174B77E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67CE0D4" w14:textId="72A0EA59">
            <w:proofErr w:type="spellStart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Literatura</w:t>
            </w:r>
            <w:proofErr w:type="spellEnd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 </w:t>
            </w:r>
            <w:proofErr w:type="spellStart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uzupełniająca</w:t>
            </w:r>
            <w:proofErr w:type="spellEnd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: </w:t>
            </w:r>
          </w:p>
          <w:p w:rsidR="29FF6E80" w:rsidP="29FF6E80" w:rsidRDefault="29FF6E80" w14:paraId="7A7A95C5" w14:textId="520D8A5A">
            <w:pPr>
              <w:pStyle w:val="Normal"/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</w:pPr>
          </w:p>
          <w:p w:rsidR="29FF6E80" w:rsidP="29FF6E80" w:rsidRDefault="29FF6E80" w14:paraId="73996716" w14:textId="1357CDC7">
            <w:pPr>
              <w:jc w:val="both"/>
            </w:pP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Berg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J.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 Namysłowska-Gabrysiak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B., </w:t>
            </w:r>
            <w:r w:rsidRPr="29FF6E80" w:rsidR="29FF6E8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Prawo karne- część ogólna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, Warszawa 2019.</w:t>
            </w:r>
          </w:p>
          <w:p w:rsidR="29FF6E80" w:rsidRDefault="29FF6E80" w14:paraId="78084432" w14:textId="5187C0D6"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Bogdan G. (et. a), 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i w:val="1"/>
                <w:iCs w:val="1"/>
                <w:smallCaps w:val="1"/>
                <w:sz w:val="24"/>
                <w:szCs w:val="24"/>
              </w:rPr>
              <w:t>Prawo karne materialne. Zbiór Kazusów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 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i w:val="1"/>
                <w:iCs w:val="1"/>
                <w:smallCaps w:val="1"/>
                <w:sz w:val="24"/>
                <w:szCs w:val="24"/>
              </w:rPr>
              <w:t>do nauki prawa karnego materialnego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, Warszawa wyd. 2013, 2010, 2009.</w:t>
            </w:r>
          </w:p>
          <w:p w:rsidR="29FF6E80" w:rsidRDefault="29FF6E80" w14:paraId="4BF32787" w14:textId="610CA887"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Komentarz do kodeksu karnego. Część ogólna. Tom I. Artykuły 1-116 k.k.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, red. A. Zoll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, 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WK&amp;LEX, Warszawa 2016.</w:t>
            </w:r>
          </w:p>
          <w:p w:rsidR="29FF6E80" w:rsidRDefault="29FF6E80" w14:paraId="1389BD29" w14:textId="1881E9AB"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</w:t>
            </w:r>
            <w:r w:rsidRPr="29FF6E80" w:rsidR="29FF6E8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rawo karne. Część ogólna, szczególna i wojskowa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,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red.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T. 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Dukiet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-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Nagórska (i in.),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Warszawa 2018.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 </w:t>
            </w:r>
          </w:p>
          <w:p w:rsidR="29FF6E80" w:rsidRDefault="29FF6E80" w14:paraId="6E53D74C" w14:textId="14FE0B49"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Prawo karne: pytania, kazusy, tablice, testy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red. K. Wiak, Warszawa 2018.</w:t>
            </w:r>
          </w:p>
          <w:p w:rsidR="29FF6E80" w:rsidRDefault="29FF6E80" w14:paraId="605158F5" w14:textId="20B279A9"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Wróbel W., Zoll A.,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Polskie prawo karne część ogólna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Kraków 2014.</w:t>
            </w:r>
          </w:p>
          <w:p w:rsidR="29FF6E80" w:rsidRDefault="29FF6E80" w14:paraId="5C40F07E" w14:textId="61FFE58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Zawłocki R.,  Królikowski M.,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karne, 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wyd. 3, C.H. Beck, 2018.</w:t>
            </w:r>
          </w:p>
          <w:p w:rsidR="29FF6E80" w:rsidP="29FF6E80" w:rsidRDefault="29FF6E80" w14:paraId="784882A7" w14:textId="25277CA7">
            <w:pPr>
              <w:tabs>
                <w:tab w:val="left" w:leader="none" w:pos="0"/>
              </w:tabs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P="29FF6E80" w14:paraId="6B699379" wp14:textId="63752E69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4">
    <w:abstractNumId w:val="54"/>
  </w:num>
  <w:num w:numId="44">
    <w:abstractNumId w:val="48"/>
  </w:num>
  <w:num w:numId="62">
    <w:abstractNumId w:val="42"/>
  </w:num>
  <w:num w:numId="67">
    <w:abstractNumId w:val="36"/>
  </w:num>
  <w:num w:numId="69">
    <w:abstractNumId w:val="30"/>
  </w:num>
  <w:num w:numId="113">
    <w:abstractNumId w:val="24"/>
  </w:num>
  <w:num w:numId="154">
    <w:abstractNumId w:val="18"/>
  </w:num>
  <w:num w:numId="157">
    <w:abstractNumId w:val="12"/>
  </w:num>
  <w:num w:numId="200">
    <w:abstractNumId w:val="6"/>
  </w:num>
  <w:num w:numId="211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1D07AC13"/>
    <w:rsid w:val="096D9D5F"/>
    <w:rsid w:val="0B747F69"/>
    <w:rsid w:val="0FA8EA46"/>
    <w:rsid w:val="186D79BD"/>
    <w:rsid w:val="1D07AC13"/>
    <w:rsid w:val="1D4E8019"/>
    <w:rsid w:val="29FF6E80"/>
    <w:rsid w:val="321F6049"/>
    <w:rsid w:val="5A3EE581"/>
    <w:rsid w:val="5CF23EFF"/>
    <w:rsid w:val="663AD3FD"/>
    <w:rsid w:val="6AEBDBE2"/>
    <w:rsid w:val="766031E9"/>
    <w:rsid w:val="766BFD94"/>
  </w:rsids>
  <w14:docId w14:val="7F7C0F45"/>
  <w15:docId w15:val="{E926A4BF-CB6C-4C49-A603-35113CB10B7F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6ecc8973ca7c4cfe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877443-CC07-47EE-9BA6-50C67B0A5900}"/>
</file>

<file path=customXml/itemProps2.xml><?xml version="1.0" encoding="utf-8"?>
<ds:datastoreItem xmlns:ds="http://schemas.openxmlformats.org/officeDocument/2006/customXml" ds:itemID="{45B0DF7B-81BA-49B3-8007-FBA869F27603}"/>
</file>

<file path=customXml/itemProps3.xml><?xml version="1.0" encoding="utf-8"?>
<ds:datastoreItem xmlns:ds="http://schemas.openxmlformats.org/officeDocument/2006/customXml" ds:itemID="{2FD039E8-F9E7-4D8E-A612-D98417C912BA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